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839D" w14:textId="74BF4F2D" w:rsidR="00325D5F" w:rsidRPr="002B7937" w:rsidRDefault="00325D5F" w:rsidP="005D0FE9">
      <w:pPr>
        <w:pStyle w:val="BodyText"/>
        <w:spacing w:before="51" w:line="360" w:lineRule="auto"/>
        <w:rPr>
          <w:rFonts w:ascii="Arial" w:hAnsi="Arial" w:cs="Arial"/>
        </w:rPr>
      </w:pPr>
      <w:r w:rsidRPr="002B7937">
        <w:rPr>
          <w:rFonts w:ascii="Arial" w:hAnsi="Arial" w:cs="Arial"/>
        </w:rPr>
        <w:t>Date</w:t>
      </w:r>
    </w:p>
    <w:p w14:paraId="7713C8E4" w14:textId="605D5397" w:rsidR="00325D5F" w:rsidRPr="002B7937" w:rsidRDefault="00325D5F" w:rsidP="00325D5F">
      <w:pPr>
        <w:pStyle w:val="BodyText"/>
        <w:spacing w:line="276" w:lineRule="auto"/>
        <w:ind w:right="6507"/>
        <w:rPr>
          <w:rFonts w:ascii="Arial" w:hAnsi="Arial" w:cs="Arial"/>
          <w:w w:val="95"/>
        </w:rPr>
      </w:pPr>
      <w:r w:rsidRPr="002B7937">
        <w:rPr>
          <w:rFonts w:ascii="Arial" w:hAnsi="Arial" w:cs="Arial"/>
          <w:w w:val="95"/>
        </w:rPr>
        <w:t>Regarding:</w:t>
      </w:r>
    </w:p>
    <w:p w14:paraId="4D0ECF22" w14:textId="775CA8A9" w:rsidR="00325D5F" w:rsidRPr="002B7937" w:rsidRDefault="00325D5F" w:rsidP="00325D5F">
      <w:pPr>
        <w:pStyle w:val="BodyText"/>
        <w:spacing w:line="276" w:lineRule="auto"/>
        <w:ind w:right="6507"/>
        <w:rPr>
          <w:rFonts w:ascii="Arial" w:hAnsi="Arial" w:cs="Arial"/>
          <w:w w:val="95"/>
        </w:rPr>
      </w:pPr>
      <w:r w:rsidRPr="002B7937">
        <w:rPr>
          <w:rFonts w:ascii="Arial" w:hAnsi="Arial" w:cs="Arial"/>
        </w:rPr>
        <w:t>Date of birth</w:t>
      </w:r>
      <w:r>
        <w:rPr>
          <w:rFonts w:ascii="Arial" w:hAnsi="Arial" w:cs="Arial"/>
        </w:rPr>
        <w:t>:</w:t>
      </w:r>
    </w:p>
    <w:p w14:paraId="4C2D3261" w14:textId="31BA38C2" w:rsidR="00325D5F" w:rsidRDefault="00325D5F" w:rsidP="00325D5F">
      <w:pPr>
        <w:pStyle w:val="BodyText"/>
        <w:spacing w:line="276" w:lineRule="auto"/>
        <w:ind w:right="5025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I</w:t>
      </w:r>
      <w:r w:rsidRPr="002B7937">
        <w:rPr>
          <w:rFonts w:ascii="Arial" w:hAnsi="Arial" w:cs="Arial"/>
          <w:w w:val="95"/>
        </w:rPr>
        <w:t>nsurance number</w:t>
      </w:r>
      <w:r>
        <w:rPr>
          <w:rFonts w:ascii="Arial" w:hAnsi="Arial" w:cs="Arial"/>
          <w:w w:val="95"/>
        </w:rPr>
        <w:t>:</w:t>
      </w:r>
      <w:r w:rsidRPr="002B7937">
        <w:rPr>
          <w:rFonts w:ascii="Arial" w:hAnsi="Arial" w:cs="Arial"/>
          <w:w w:val="95"/>
        </w:rPr>
        <w:t xml:space="preserve"> </w:t>
      </w:r>
    </w:p>
    <w:p w14:paraId="333FB0B8" w14:textId="3875835C" w:rsidR="00787B16" w:rsidRDefault="00787B16">
      <w:pPr>
        <w:pStyle w:val="BodyText"/>
        <w:rPr>
          <w:sz w:val="24"/>
        </w:rPr>
      </w:pPr>
    </w:p>
    <w:p w14:paraId="0F3D2489" w14:textId="236EFFDE" w:rsidR="002F12B2" w:rsidRDefault="002F12B2">
      <w:pPr>
        <w:pStyle w:val="BodyText"/>
        <w:rPr>
          <w:sz w:val="24"/>
        </w:rPr>
      </w:pPr>
      <w:r>
        <w:rPr>
          <w:sz w:val="24"/>
        </w:rPr>
        <w:t>To Whom It May C</w:t>
      </w:r>
      <w:r w:rsidR="00371E76">
        <w:rPr>
          <w:sz w:val="24"/>
        </w:rPr>
        <w:t>o</w:t>
      </w:r>
      <w:r>
        <w:rPr>
          <w:sz w:val="24"/>
        </w:rPr>
        <w:t>ncern</w:t>
      </w:r>
      <w:r w:rsidR="005D0FE9">
        <w:rPr>
          <w:sz w:val="24"/>
        </w:rPr>
        <w:t>,</w:t>
      </w:r>
    </w:p>
    <w:p w14:paraId="2D6B495A" w14:textId="77777777" w:rsidR="00787B16" w:rsidRDefault="00787B16">
      <w:pPr>
        <w:pStyle w:val="BodyText"/>
        <w:spacing w:before="11"/>
        <w:rPr>
          <w:sz w:val="19"/>
        </w:rPr>
      </w:pPr>
    </w:p>
    <w:p w14:paraId="07E9D89E" w14:textId="69FA3B44" w:rsidR="00787B16" w:rsidRDefault="004D48B0" w:rsidP="00371E76">
      <w:pPr>
        <w:pStyle w:val="BodyText"/>
        <w:tabs>
          <w:tab w:val="left" w:pos="7228"/>
        </w:tabs>
        <w:ind w:right="322"/>
      </w:pPr>
      <w:r>
        <w:t xml:space="preserve">XXX was seen in </w:t>
      </w:r>
      <w:r w:rsidR="00325D5F">
        <w:t>the XXX</w:t>
      </w:r>
      <w:r>
        <w:t xml:space="preserve"> Genetics</w:t>
      </w:r>
      <w:r>
        <w:rPr>
          <w:spacing w:val="-8"/>
        </w:rPr>
        <w:t xml:space="preserve"> </w:t>
      </w:r>
      <w:r>
        <w:t>Clinic o</w:t>
      </w:r>
      <w:r w:rsidR="00325D5F">
        <w:t xml:space="preserve">n XXX </w:t>
      </w:r>
      <w:r>
        <w:t>at the referral of his pediatrician, XXXX, MD. On physical exam, XXX has a large tongue, umbilical hernia, hemihypertrophy, small glabellar hemangioma</w:t>
      </w:r>
      <w:r w:rsidR="00325D5F">
        <w:t>,</w:t>
      </w:r>
      <w:r>
        <w:t xml:space="preserve"> and history of being large for gestational age at birth. The pregnancy was complicated by polyhydramnios.</w:t>
      </w:r>
      <w:r>
        <w:t xml:space="preserve"> These findings are consistent with Beckwith-</w:t>
      </w:r>
      <w:r>
        <w:t>Wiedemann syndrome (BWS), an overgrowth syndrome that carries a 15% incidence of</w:t>
      </w:r>
      <w:r>
        <w:rPr>
          <w:spacing w:val="-15"/>
        </w:rPr>
        <w:t xml:space="preserve"> </w:t>
      </w:r>
      <w:r>
        <w:t>cancer.</w:t>
      </w:r>
    </w:p>
    <w:p w14:paraId="3127CD7C" w14:textId="77777777" w:rsidR="00787B16" w:rsidRDefault="00787B16">
      <w:pPr>
        <w:pStyle w:val="BodyText"/>
        <w:spacing w:before="8"/>
        <w:rPr>
          <w:sz w:val="30"/>
        </w:rPr>
      </w:pPr>
    </w:p>
    <w:p w14:paraId="5F02EEB4" w14:textId="77777777" w:rsidR="00787B16" w:rsidRDefault="004D48B0" w:rsidP="00371E76">
      <w:pPr>
        <w:pStyle w:val="BodyText"/>
        <w:spacing w:before="1"/>
        <w:ind w:right="197"/>
      </w:pPr>
      <w:r>
        <w:t>The underlying genetic etiologies of BWS are complex, but important to identify, especially for recurrence risks and med</w:t>
      </w:r>
      <w:r>
        <w:t>ical management. Cytogenetically detectable abnormalities involving 11p15 are found in only 1% of cases. Clinically available molecular genetic testing can identify several different types of 11p15 abnormalities in individuals with BWS: (1) loss of methyla</w:t>
      </w:r>
      <w:r>
        <w:t xml:space="preserve">tion at DMR2 is observed in 50% of individuals; (2) gain of methylation at DMR1 is observed in 2% to 7%; (3) paternal uniparental disomy for chromosome 11p15 is observed in 10-20%. Testing reveals mutations in the </w:t>
      </w:r>
      <w:r>
        <w:rPr>
          <w:i/>
        </w:rPr>
        <w:t xml:space="preserve">CDKN1C </w:t>
      </w:r>
      <w:r>
        <w:t xml:space="preserve">gene (previously called </w:t>
      </w:r>
      <w:r>
        <w:rPr>
          <w:i/>
        </w:rPr>
        <w:t xml:space="preserve">p57 </w:t>
      </w:r>
      <w:r>
        <w:rPr>
          <w:i/>
          <w:vertAlign w:val="superscript"/>
        </w:rPr>
        <w:t>KIP2</w:t>
      </w:r>
      <w:r>
        <w:rPr>
          <w:i/>
        </w:rPr>
        <w:t xml:space="preserve"> </w:t>
      </w:r>
      <w:r>
        <w:t xml:space="preserve">) </w:t>
      </w:r>
      <w:r>
        <w:t>in 40% of familial cases and 5-10% of non-familial cases.</w:t>
      </w:r>
    </w:p>
    <w:p w14:paraId="0E8C555F" w14:textId="77777777" w:rsidR="00787B16" w:rsidRDefault="00787B16">
      <w:pPr>
        <w:pStyle w:val="BodyText"/>
        <w:spacing w:before="7"/>
        <w:rPr>
          <w:sz w:val="30"/>
        </w:rPr>
      </w:pPr>
    </w:p>
    <w:p w14:paraId="38B3D928" w14:textId="77777777" w:rsidR="00787B16" w:rsidRDefault="004D48B0" w:rsidP="00371E76">
      <w:pPr>
        <w:ind w:right="309"/>
      </w:pPr>
      <w:r>
        <w:rPr>
          <w:b/>
        </w:rPr>
        <w:t>We are requesting preauthorization for diagnostic studies that are medically indicated</w:t>
      </w:r>
      <w:r>
        <w:t>. These are high-resolution chromosome studies with FISH for 11p, methylation studies and testing for uniparent</w:t>
      </w:r>
      <w:r>
        <w:t>al disomy.</w:t>
      </w:r>
    </w:p>
    <w:p w14:paraId="6E0C8299" w14:textId="77777777" w:rsidR="00787B16" w:rsidRDefault="00787B16">
      <w:pPr>
        <w:pStyle w:val="BodyText"/>
        <w:rPr>
          <w:sz w:val="20"/>
        </w:rPr>
      </w:pPr>
    </w:p>
    <w:p w14:paraId="70FB1EA4" w14:textId="77777777" w:rsidR="00787B16" w:rsidRDefault="004D48B0">
      <w:pPr>
        <w:pStyle w:val="ListParagraph"/>
        <w:numPr>
          <w:ilvl w:val="0"/>
          <w:numId w:val="1"/>
        </w:numPr>
        <w:tabs>
          <w:tab w:val="left" w:pos="1205"/>
          <w:tab w:val="left" w:pos="1206"/>
        </w:tabs>
        <w:ind w:right="120"/>
      </w:pPr>
      <w:r>
        <w:rPr>
          <w:b/>
        </w:rPr>
        <w:t>High-resolution banding chromosome study</w:t>
      </w:r>
      <w:r>
        <w:t>: Chromosome analysis reveals a cytogenetically detectable translocation or inversion of a maternal chromosome 11 or a cytogenetically detectable duplication of a paternal chromosome 11 involving band 11p15 in 1% of  individuals with BWS.  The analysis als</w:t>
      </w:r>
      <w:r>
        <w:t>o rules out other chromosomal rearrangements, deletions or duplications and is standard of care, required by the laboratory to perform FISH</w:t>
      </w:r>
      <w:r>
        <w:rPr>
          <w:spacing w:val="-3"/>
        </w:rPr>
        <w:t xml:space="preserve"> </w:t>
      </w:r>
      <w:r>
        <w:t>testing.</w:t>
      </w:r>
    </w:p>
    <w:p w14:paraId="6CD36B8B" w14:textId="77777777" w:rsidR="00787B16" w:rsidRPr="005D0FE9" w:rsidRDefault="004D48B0" w:rsidP="005D0FE9">
      <w:pPr>
        <w:pStyle w:val="Title"/>
        <w:numPr>
          <w:ilvl w:val="0"/>
          <w:numId w:val="2"/>
        </w:numPr>
        <w:rPr>
          <w:b w:val="0"/>
          <w:bCs w:val="0"/>
        </w:rPr>
      </w:pPr>
      <w:r w:rsidRPr="005D0FE9">
        <w:rPr>
          <w:b w:val="0"/>
          <w:bCs w:val="0"/>
        </w:rPr>
        <w:t>CPT codes are 88230, 88262, 88280 and 88289</w:t>
      </w:r>
    </w:p>
    <w:p w14:paraId="05D197FB" w14:textId="77777777" w:rsidR="00787B16" w:rsidRDefault="00787B16">
      <w:pPr>
        <w:pStyle w:val="BodyText"/>
        <w:spacing w:before="11"/>
        <w:rPr>
          <w:b/>
          <w:sz w:val="21"/>
        </w:rPr>
      </w:pPr>
    </w:p>
    <w:p w14:paraId="115E14D7" w14:textId="77777777" w:rsidR="005D0FE9" w:rsidRPr="005D0FE9" w:rsidRDefault="004D48B0" w:rsidP="005D0FE9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right="295"/>
        <w:rPr>
          <w:b/>
          <w:bCs/>
        </w:rPr>
      </w:pPr>
      <w:r>
        <w:rPr>
          <w:b/>
        </w:rPr>
        <w:t>F</w:t>
      </w:r>
      <w:r>
        <w:rPr>
          <w:b/>
        </w:rPr>
        <w:t xml:space="preserve">ISH (fluorescence in situ hybridization) for 11p </w:t>
      </w:r>
      <w:r>
        <w:t>detects smal</w:t>
      </w:r>
      <w:r>
        <w:t>l deletions of this region of 11p.</w:t>
      </w:r>
    </w:p>
    <w:p w14:paraId="54C01BA0" w14:textId="3DD0E13F" w:rsidR="00787B16" w:rsidRPr="005D0FE9" w:rsidRDefault="004D48B0" w:rsidP="005D0FE9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ind w:right="295"/>
      </w:pPr>
      <w:r w:rsidRPr="005D0FE9">
        <w:t>The CPT codes are 88273, 88271, and</w:t>
      </w:r>
      <w:r w:rsidRPr="005D0FE9">
        <w:t xml:space="preserve"> </w:t>
      </w:r>
      <w:r w:rsidRPr="005D0FE9">
        <w:t>88291</w:t>
      </w:r>
    </w:p>
    <w:p w14:paraId="68F09FBD" w14:textId="77777777" w:rsidR="00787B16" w:rsidRDefault="00787B16">
      <w:pPr>
        <w:pStyle w:val="BodyText"/>
        <w:spacing w:before="11"/>
        <w:rPr>
          <w:sz w:val="21"/>
        </w:rPr>
      </w:pPr>
    </w:p>
    <w:p w14:paraId="310F5A90" w14:textId="77777777" w:rsidR="005D0FE9" w:rsidRDefault="004D48B0" w:rsidP="005D0FE9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</w:pPr>
      <w:r w:rsidRPr="005D0FE9">
        <w:rPr>
          <w:b/>
        </w:rPr>
        <w:t xml:space="preserve">Methylation for BWS </w:t>
      </w:r>
      <w:r>
        <w:t xml:space="preserve">–Up to 60% of individuals fulfilling diagnostic criteria for BWS have detectable </w:t>
      </w:r>
      <w:r w:rsidRPr="005D0FE9">
        <w:rPr>
          <w:i/>
        </w:rPr>
        <w:t xml:space="preserve">KCNQ1OT1 </w:t>
      </w:r>
      <w:r>
        <w:t>methylation abnormalities. Between 2% and 7% of individuals fulfilli</w:t>
      </w:r>
      <w:r>
        <w:t xml:space="preserve">ng diagnostic criteria for BWS have gain of methylation at </w:t>
      </w:r>
      <w:r w:rsidRPr="005D0FE9">
        <w:rPr>
          <w:i/>
        </w:rPr>
        <w:t>H19</w:t>
      </w:r>
      <w:r>
        <w:t xml:space="preserve">. </w:t>
      </w:r>
    </w:p>
    <w:p w14:paraId="722D14F6" w14:textId="1AEA7ECE" w:rsidR="00787B16" w:rsidRDefault="004D48B0" w:rsidP="005D0FE9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</w:pPr>
      <w:r>
        <w:t>CPT codes are 83890, 83892, 83894, 83898,</w:t>
      </w:r>
      <w:r w:rsidRPr="005D0FE9">
        <w:rPr>
          <w:spacing w:val="-2"/>
        </w:rPr>
        <w:t xml:space="preserve"> </w:t>
      </w:r>
      <w:r>
        <w:t>83912</w:t>
      </w:r>
    </w:p>
    <w:p w14:paraId="468A1282" w14:textId="77777777" w:rsidR="00787B16" w:rsidRDefault="00787B16">
      <w:pPr>
        <w:pStyle w:val="BodyText"/>
        <w:spacing w:before="11"/>
        <w:rPr>
          <w:sz w:val="21"/>
        </w:rPr>
      </w:pPr>
    </w:p>
    <w:p w14:paraId="39F4E9DB" w14:textId="69AD6EC4" w:rsidR="00787B16" w:rsidRDefault="004D48B0" w:rsidP="005D0FE9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right="292"/>
      </w:pPr>
      <w:r w:rsidRPr="005D0FE9">
        <w:rPr>
          <w:b/>
        </w:rPr>
        <w:t xml:space="preserve">Uniparental disomy studies: </w:t>
      </w:r>
      <w:r>
        <w:t>Approximately 10-20% of individuals fulfilling diagnostic criteria for BWS have paternal UPD for the BWS critical r</w:t>
      </w:r>
      <w:r>
        <w:t>egion. Paternal UPD for 11p15</w:t>
      </w:r>
      <w:r w:rsidRPr="005D0FE9">
        <w:rPr>
          <w:spacing w:val="-14"/>
        </w:rPr>
        <w:t xml:space="preserve"> </w:t>
      </w:r>
      <w:r>
        <w:t>is</w:t>
      </w:r>
    </w:p>
    <w:p w14:paraId="03BC4E3B" w14:textId="77777777" w:rsidR="00787B16" w:rsidRDefault="00787B16">
      <w:pPr>
        <w:sectPr w:rsidR="00787B16">
          <w:footerReference w:type="default" r:id="rId7"/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14:paraId="6A11CE7A" w14:textId="77777777" w:rsidR="00787B16" w:rsidRDefault="00787B16">
      <w:pPr>
        <w:pStyle w:val="BodyText"/>
        <w:rPr>
          <w:sz w:val="20"/>
        </w:rPr>
      </w:pPr>
    </w:p>
    <w:p w14:paraId="482AFC21" w14:textId="77777777" w:rsidR="00787B16" w:rsidRDefault="00787B16">
      <w:pPr>
        <w:pStyle w:val="BodyText"/>
        <w:rPr>
          <w:sz w:val="20"/>
        </w:rPr>
      </w:pPr>
    </w:p>
    <w:p w14:paraId="341767B7" w14:textId="77777777" w:rsidR="00787B16" w:rsidRDefault="00787B16">
      <w:pPr>
        <w:pStyle w:val="BodyText"/>
        <w:spacing w:before="9"/>
        <w:rPr>
          <w:sz w:val="21"/>
        </w:rPr>
      </w:pPr>
    </w:p>
    <w:p w14:paraId="4A43A9BE" w14:textId="77777777" w:rsidR="005D0FE9" w:rsidRDefault="004D48B0">
      <w:pPr>
        <w:pStyle w:val="BodyText"/>
        <w:tabs>
          <w:tab w:val="left" w:pos="6706"/>
        </w:tabs>
        <w:spacing w:before="91"/>
        <w:ind w:left="1235" w:right="309"/>
      </w:pPr>
      <w:r>
        <w:t>associated with isolated hemihyperplasia and</w:t>
      </w:r>
      <w:r>
        <w:rPr>
          <w:spacing w:val="-7"/>
        </w:rPr>
        <w:t xml:space="preserve"> </w:t>
      </w:r>
      <w:r>
        <w:t>Wilms</w:t>
      </w:r>
      <w:r>
        <w:rPr>
          <w:spacing w:val="-1"/>
        </w:rPr>
        <w:t xml:space="preserve"> </w:t>
      </w:r>
      <w:r>
        <w:t>tumor.</w:t>
      </w:r>
      <w:r>
        <w:tab/>
      </w:r>
    </w:p>
    <w:p w14:paraId="00F29646" w14:textId="79E7BCD1" w:rsidR="00787B16" w:rsidRDefault="004D48B0" w:rsidP="005D0FE9">
      <w:pPr>
        <w:pStyle w:val="BodyText"/>
        <w:numPr>
          <w:ilvl w:val="0"/>
          <w:numId w:val="3"/>
        </w:numPr>
        <w:tabs>
          <w:tab w:val="left" w:pos="6706"/>
        </w:tabs>
        <w:spacing w:before="91"/>
        <w:ind w:right="309"/>
      </w:pPr>
      <w:r>
        <w:t xml:space="preserve">CPT codes are 83891, </w:t>
      </w:r>
      <w:r>
        <w:rPr>
          <w:spacing w:val="-3"/>
        </w:rPr>
        <w:t xml:space="preserve">83894, </w:t>
      </w:r>
      <w:r>
        <w:t>83898,</w:t>
      </w:r>
      <w:r>
        <w:rPr>
          <w:spacing w:val="-1"/>
        </w:rPr>
        <w:t xml:space="preserve"> </w:t>
      </w:r>
      <w:r>
        <w:t>83912</w:t>
      </w:r>
    </w:p>
    <w:p w14:paraId="757BB725" w14:textId="77777777" w:rsidR="00787B16" w:rsidRDefault="00787B16">
      <w:pPr>
        <w:pStyle w:val="BodyText"/>
        <w:spacing w:before="10"/>
        <w:rPr>
          <w:sz w:val="21"/>
        </w:rPr>
      </w:pPr>
    </w:p>
    <w:p w14:paraId="37FA0885" w14:textId="7A36B618" w:rsidR="00787B16" w:rsidRDefault="004D48B0" w:rsidP="005D0FE9">
      <w:pPr>
        <w:pStyle w:val="BodyText"/>
        <w:spacing w:before="1"/>
        <w:ind w:right="137"/>
      </w:pPr>
      <w:r>
        <w:t xml:space="preserve">Making a diagnosis of Beckwith-Wiedemann syndrome is important for medical management because of its potential complications. Children with BWS have an increased risk of mortality associated with neoplasia, particularly Wilms tumor and hepatoblastoma, but </w:t>
      </w:r>
      <w:r>
        <w:t>also neuroblastoma, adrenocortical carcinoma, and rhabdomyosarcoma. Also seen are a wide variety of other tumors, both malignant and benign. The estimated risk for tumor development in children with BWS is 7.5%. Those children who have asymmetrical overgro</w:t>
      </w:r>
      <w:r>
        <w:t xml:space="preserve">wth (hemihyperplasia) such as XXX seem to have a higher risk of developing tumors than those who are symmetrical. </w:t>
      </w:r>
      <w:r>
        <w:rPr>
          <w:b/>
        </w:rPr>
        <w:t>Tumor surveillance with frequent abdominal ultrasounds (every 3 months) and serum Alpha Fetal Protein levels is indicated</w:t>
      </w:r>
      <w:r>
        <w:t>.</w:t>
      </w:r>
      <w:r w:rsidR="005D0FE9">
        <w:t xml:space="preserve"> </w:t>
      </w:r>
      <w:r>
        <w:t>Testing is particu</w:t>
      </w:r>
      <w:r>
        <w:t>larly important for this family as a sister has an inoperable brainstem glioma.</w:t>
      </w:r>
    </w:p>
    <w:p w14:paraId="0E25AFDC" w14:textId="77777777" w:rsidR="00787B16" w:rsidRDefault="00787B16">
      <w:pPr>
        <w:pStyle w:val="BodyText"/>
        <w:spacing w:before="11"/>
        <w:rPr>
          <w:sz w:val="21"/>
        </w:rPr>
      </w:pPr>
    </w:p>
    <w:p w14:paraId="56D840B8" w14:textId="77777777" w:rsidR="00787B16" w:rsidRDefault="004D48B0" w:rsidP="00371E76">
      <w:pPr>
        <w:pStyle w:val="BodyText"/>
      </w:pPr>
      <w:r>
        <w:t>We hope this information is helpful. Please do not hesitate to contact us with further questions or concerns. The family is anxious to pursue this diagnostic testing.</w:t>
      </w:r>
    </w:p>
    <w:p w14:paraId="4137BCB8" w14:textId="77777777" w:rsidR="00787B16" w:rsidRDefault="00787B16">
      <w:pPr>
        <w:pStyle w:val="BodyText"/>
        <w:spacing w:before="1"/>
      </w:pPr>
    </w:p>
    <w:p w14:paraId="124FAB93" w14:textId="77777777" w:rsidR="00787B16" w:rsidRDefault="004D48B0" w:rsidP="005D0FE9">
      <w:pPr>
        <w:pStyle w:val="BodyText"/>
      </w:pPr>
      <w:r>
        <w:t>Sincere</w:t>
      </w:r>
      <w:r>
        <w:t>ly,</w:t>
      </w:r>
    </w:p>
    <w:p w14:paraId="1575D9E2" w14:textId="77777777" w:rsidR="00787B16" w:rsidRDefault="00787B16">
      <w:pPr>
        <w:pStyle w:val="BodyText"/>
        <w:rPr>
          <w:sz w:val="24"/>
        </w:rPr>
      </w:pPr>
    </w:p>
    <w:p w14:paraId="2516BB89" w14:textId="1FF4A3BE" w:rsidR="00787B16" w:rsidRDefault="00787B16" w:rsidP="005D0FE9">
      <w:pPr>
        <w:pStyle w:val="BodyText"/>
        <w:tabs>
          <w:tab w:val="left" w:pos="1161"/>
        </w:tabs>
        <w:spacing w:before="206"/>
        <w:ind w:right="7673"/>
      </w:pPr>
    </w:p>
    <w:sectPr w:rsidR="00787B16">
      <w:pgSz w:w="12240" w:h="15840"/>
      <w:pgMar w:top="1500" w:right="9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2878" w14:textId="77777777" w:rsidR="004D48B0" w:rsidRDefault="004D48B0" w:rsidP="005D0FE9">
      <w:r>
        <w:separator/>
      </w:r>
    </w:p>
  </w:endnote>
  <w:endnote w:type="continuationSeparator" w:id="0">
    <w:p w14:paraId="444FE2EE" w14:textId="77777777" w:rsidR="004D48B0" w:rsidRDefault="004D48B0" w:rsidP="005D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969F" w14:textId="0BA00951" w:rsidR="005D0FE9" w:rsidRPr="005D0FE9" w:rsidRDefault="005D0FE9">
    <w:pPr>
      <w:pStyle w:val="Footer"/>
      <w:rPr>
        <w:sz w:val="18"/>
        <w:szCs w:val="18"/>
      </w:rPr>
    </w:pPr>
    <w:r w:rsidRPr="005D0FE9">
      <w:rPr>
        <w:sz w:val="18"/>
        <w:szCs w:val="18"/>
      </w:rPr>
      <w:t>Medical Home Portal –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1F3E" w14:textId="77777777" w:rsidR="004D48B0" w:rsidRDefault="004D48B0" w:rsidP="005D0FE9">
      <w:r>
        <w:separator/>
      </w:r>
    </w:p>
  </w:footnote>
  <w:footnote w:type="continuationSeparator" w:id="0">
    <w:p w14:paraId="62DD6DCE" w14:textId="77777777" w:rsidR="004D48B0" w:rsidRDefault="004D48B0" w:rsidP="005D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96B"/>
    <w:multiLevelType w:val="hybridMultilevel"/>
    <w:tmpl w:val="23D06F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374F0"/>
    <w:multiLevelType w:val="hybridMultilevel"/>
    <w:tmpl w:val="B3F8D982"/>
    <w:lvl w:ilvl="0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2" w15:restartNumberingAfterBreak="0">
    <w:nsid w:val="3CE320FD"/>
    <w:multiLevelType w:val="hybridMultilevel"/>
    <w:tmpl w:val="0964A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D6145CA4">
      <w:numFmt w:val="bullet"/>
      <w:lvlText w:val="•"/>
      <w:lvlJc w:val="left"/>
      <w:pPr>
        <w:ind w:left="2085" w:hanging="406"/>
      </w:pPr>
      <w:rPr>
        <w:rFonts w:hint="default"/>
      </w:rPr>
    </w:lvl>
    <w:lvl w:ilvl="3" w:tplc="60D08352">
      <w:numFmt w:val="bullet"/>
      <w:lvlText w:val="•"/>
      <w:lvlJc w:val="left"/>
      <w:pPr>
        <w:ind w:left="2927" w:hanging="406"/>
      </w:pPr>
      <w:rPr>
        <w:rFonts w:hint="default"/>
      </w:rPr>
    </w:lvl>
    <w:lvl w:ilvl="4" w:tplc="837EFDE6">
      <w:numFmt w:val="bullet"/>
      <w:lvlText w:val="•"/>
      <w:lvlJc w:val="left"/>
      <w:pPr>
        <w:ind w:left="3769" w:hanging="406"/>
      </w:pPr>
      <w:rPr>
        <w:rFonts w:hint="default"/>
      </w:rPr>
    </w:lvl>
    <w:lvl w:ilvl="5" w:tplc="E53A7A30"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0BE00D56">
      <w:numFmt w:val="bullet"/>
      <w:lvlText w:val="•"/>
      <w:lvlJc w:val="left"/>
      <w:pPr>
        <w:ind w:left="5453" w:hanging="406"/>
      </w:pPr>
      <w:rPr>
        <w:rFonts w:hint="default"/>
      </w:rPr>
    </w:lvl>
    <w:lvl w:ilvl="7" w:tplc="0C34692A">
      <w:numFmt w:val="bullet"/>
      <w:lvlText w:val="•"/>
      <w:lvlJc w:val="left"/>
      <w:pPr>
        <w:ind w:left="6295" w:hanging="406"/>
      </w:pPr>
      <w:rPr>
        <w:rFonts w:hint="default"/>
      </w:rPr>
    </w:lvl>
    <w:lvl w:ilvl="8" w:tplc="0F489BAC">
      <w:numFmt w:val="bullet"/>
      <w:lvlText w:val="•"/>
      <w:lvlJc w:val="left"/>
      <w:pPr>
        <w:ind w:left="7137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B16"/>
    <w:rsid w:val="002F12B2"/>
    <w:rsid w:val="00325D5F"/>
    <w:rsid w:val="00371E76"/>
    <w:rsid w:val="004D48B0"/>
    <w:rsid w:val="005D0FE9"/>
    <w:rsid w:val="007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4B663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15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35" w:right="115" w:hanging="4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3103</Characters>
  <Application>Microsoft Office Word</Application>
  <DocSecurity>0</DocSecurity>
  <Lines>25</Lines>
  <Paragraphs>7</Paragraphs>
  <ScaleCrop>false</ScaleCrop>
  <Company>PEDS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Ltr_Med_Nec_Beckwith_Wiedemann.doc</dc:title>
  <dc:creator>ALROMEO</dc:creator>
  <cp:lastModifiedBy>Dale Herring</cp:lastModifiedBy>
  <cp:revision>5</cp:revision>
  <dcterms:created xsi:type="dcterms:W3CDTF">2020-11-10T16:45:00Z</dcterms:created>
  <dcterms:modified xsi:type="dcterms:W3CDTF">2020-11-10T16:56:00Z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